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LL-SOP-22（2.0版）/B</w:t>
      </w:r>
      <w:r>
        <w:rPr>
          <w:rFonts w:hint="eastAsia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 w:val="24"/>
          <w:szCs w:val="24"/>
        </w:rPr>
        <w:t>:</w:t>
      </w:r>
    </w:p>
    <w:p>
      <w:pPr>
        <w:spacing w:line="220" w:lineRule="atLeast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安全性</w:t>
      </w:r>
      <w:r>
        <w:rPr>
          <w:rFonts w:hint="eastAsia" w:eastAsia="宋体" w:cs="Times New Roman"/>
          <w:b/>
          <w:color w:val="auto"/>
          <w:sz w:val="24"/>
          <w:szCs w:val="24"/>
          <w:lang w:val="en-US" w:eastAsia="zh-CN"/>
        </w:rPr>
        <w:t>事件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报告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报告时间： 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主要研究者签字：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4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08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药物（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Ⅲ期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Ⅳ期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进口注册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试用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上市后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诊断试剂（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□II类  □III类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申办者/CRO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研究科室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招募广告版本日期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伦理审查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一、事件概况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</w:p>
    <w:tbl>
      <w:tblPr>
        <w:tblStyle w:val="4"/>
        <w:tblW w:w="94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20"/>
        <w:gridCol w:w="236"/>
        <w:gridCol w:w="230"/>
        <w:gridCol w:w="702"/>
        <w:gridCol w:w="897"/>
        <w:gridCol w:w="284"/>
        <w:gridCol w:w="540"/>
        <w:gridCol w:w="1140"/>
        <w:gridCol w:w="588"/>
        <w:gridCol w:w="618"/>
        <w:gridCol w:w="132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受试者入组编号</w:t>
            </w:r>
          </w:p>
        </w:tc>
        <w:tc>
          <w:tcPr>
            <w:tcW w:w="6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报告类型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首次报告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随访报告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6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6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事件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AE，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SAE，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SUSAR，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其他：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发生时间</w:t>
            </w:r>
          </w:p>
        </w:tc>
        <w:tc>
          <w:tcPr>
            <w:tcW w:w="6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研究者获知时间</w:t>
            </w:r>
          </w:p>
        </w:tc>
        <w:tc>
          <w:tcPr>
            <w:tcW w:w="6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试验用药物/医疗器械名称</w:t>
            </w:r>
          </w:p>
        </w:tc>
        <w:tc>
          <w:tcPr>
            <w:tcW w:w="6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highlight w:val="none"/>
                <w:lang w:val="en-US" w:eastAsia="zh-CN"/>
              </w:rPr>
              <w:t>药物/医疗器械分类</w:t>
            </w:r>
          </w:p>
        </w:tc>
        <w:tc>
          <w:tcPr>
            <w:tcW w:w="7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药物：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中药，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化学药，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新生物制品，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放射性药物，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进口药，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其他：</w:t>
            </w:r>
          </w:p>
          <w:p>
            <w:pPr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医疗器械：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Ⅰ类，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Ⅱ类，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Ⅲ类</w:t>
            </w:r>
            <w:r>
              <w:rPr>
                <w:rFonts w:hint="eastAsia" w:hAnsi="宋体" w:eastAsia="宋体"/>
                <w:color w:val="00000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hAnsi="宋体"/>
                <w:color w:val="000000"/>
                <w:sz w:val="24"/>
              </w:rPr>
              <w:t>植入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hAnsi="宋体"/>
                <w:color w:val="000000"/>
                <w:sz w:val="24"/>
              </w:rPr>
              <w:t>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事件等级</w:t>
            </w:r>
          </w:p>
        </w:tc>
        <w:tc>
          <w:tcPr>
            <w:tcW w:w="7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导致住院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延长住院时间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伤残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死亡（时间：_______）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功能障碍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导致先天畸形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危及生命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破盲情况</w:t>
            </w:r>
          </w:p>
        </w:tc>
        <w:tc>
          <w:tcPr>
            <w:tcW w:w="7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未破盲，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已破盲：        破盲时间：            破盲组别：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二、受试者详细情况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37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安全性事件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详细情况（包括实验室检查结果）：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1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研究者针对受试者采取的诊疗过程</w:t>
            </w:r>
          </w:p>
        </w:tc>
        <w:tc>
          <w:tcPr>
            <w:tcW w:w="582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方案用药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/医疗器械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规定</w:t>
            </w:r>
          </w:p>
        </w:tc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实际用药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/医疗器械情况</w:t>
            </w:r>
          </w:p>
        </w:tc>
        <w:tc>
          <w:tcPr>
            <w:tcW w:w="38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既往病史</w:t>
            </w:r>
          </w:p>
        </w:tc>
        <w:tc>
          <w:tcPr>
            <w:tcW w:w="18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合并疾病</w:t>
            </w:r>
          </w:p>
        </w:tc>
        <w:tc>
          <w:tcPr>
            <w:tcW w:w="38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2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受试者的转归情况</w:t>
            </w:r>
          </w:p>
        </w:tc>
        <w:tc>
          <w:tcPr>
            <w:tcW w:w="820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2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是否满足退出标准</w:t>
            </w:r>
          </w:p>
        </w:tc>
        <w:tc>
          <w:tcPr>
            <w:tcW w:w="1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17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研究者要求其退出</w:t>
            </w: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受试者同意退出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2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是否继续用药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/医疗器械</w:t>
            </w:r>
          </w:p>
        </w:tc>
        <w:tc>
          <w:tcPr>
            <w:tcW w:w="1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17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用药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/医疗器械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计划</w:t>
            </w:r>
          </w:p>
        </w:tc>
        <w:tc>
          <w:tcPr>
            <w:tcW w:w="50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37" w:type="dxa"/>
            <w:gridSpan w:val="13"/>
            <w:tcBorders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三、事件分析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相关性判断</w:t>
            </w:r>
          </w:p>
        </w:tc>
        <w:tc>
          <w:tcPr>
            <w:tcW w:w="8209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肯定有关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很可能有关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可能有关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可能无关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肯定无关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相关性判断依据</w:t>
            </w:r>
          </w:p>
        </w:tc>
        <w:tc>
          <w:tcPr>
            <w:tcW w:w="6884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是否为预期不良事件，已在研究方案、知情同意书中说明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84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是否为非预期不良事件，未在研究方案、知情同意书中说明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单例对整个研究人群的风险是否有影响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若是，是否将增加预防措施或确认其他受试者安全性的相关检查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0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若是，具体计划：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1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是否已召开研究者讨论会议</w:t>
            </w:r>
          </w:p>
        </w:tc>
        <w:tc>
          <w:tcPr>
            <w:tcW w:w="18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 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28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会议结论</w:t>
            </w:r>
          </w:p>
        </w:tc>
        <w:tc>
          <w:tcPr>
            <w:tcW w:w="26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事件发生原因</w:t>
            </w:r>
          </w:p>
        </w:tc>
        <w:tc>
          <w:tcPr>
            <w:tcW w:w="8209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申办者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处理措施及结果，后续防范措施</w:t>
            </w:r>
          </w:p>
        </w:tc>
        <w:tc>
          <w:tcPr>
            <w:tcW w:w="8209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37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是否需要修改研究方案？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是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提交附件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是否需要修改知情同意书？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是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提交附件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ebdings" w:char="F06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否</w:t>
            </w:r>
          </w:p>
        </w:tc>
      </w:tr>
    </w:tbl>
    <w:p>
      <w:r>
        <w:rPr>
          <w:rFonts w:hint="default" w:ascii="Times New Roman" w:hAnsi="Times New Roman" w:cs="Times New Roman"/>
          <w:color w:val="000000"/>
          <w:sz w:val="21"/>
          <w:szCs w:val="21"/>
        </w:rPr>
        <w:t>填写说明：①请用■或√填写选择内容；②如不适用可不填写，或填写“NA”或“/”。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44A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2022-09-13T23:58:00Z</dcterms:created>
  <dc:creator>1581777381jinml</dc:creator>
  <cp:lastModifiedBy>靳孟丽</cp:lastModifiedBy>
  <dcterms:modified xsi:type="dcterms:W3CDTF">2022-09-13T23:58:11Z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CA2C5C6D2FD948BB8FD32085260F354E</vt:lpwstr>
  </property>
</Properties>
</file>